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768EA" w14:textId="77777777" w:rsidR="007D48F4" w:rsidRDefault="007D48F4" w:rsidP="0013249D">
      <w:pPr>
        <w:spacing w:before="4320"/>
        <w:jc w:val="center"/>
        <w:rPr>
          <w:b/>
          <w:bCs/>
        </w:rPr>
      </w:pPr>
      <w:r>
        <w:rPr>
          <w:b/>
          <w:bCs/>
        </w:rPr>
        <w:t>IN THE UNITED STATES BANKRUPTCY COURT</w:t>
      </w:r>
    </w:p>
    <w:p w14:paraId="6B30977F" w14:textId="77777777" w:rsidR="007D48F4" w:rsidRDefault="007D48F4">
      <w:pPr>
        <w:jc w:val="center"/>
        <w:rPr>
          <w:b/>
          <w:bCs/>
        </w:rPr>
      </w:pPr>
      <w:r>
        <w:rPr>
          <w:b/>
          <w:bCs/>
        </w:rPr>
        <w:t xml:space="preserve">FOR THE WESTERN DISTRICT OF </w:t>
      </w:r>
      <w:smartTag w:uri="urn:schemas-microsoft-com:office:smarttags" w:element="State">
        <w:smartTag w:uri="urn:schemas-microsoft-com:office:smarttags" w:element="place">
          <w:r>
            <w:rPr>
              <w:b/>
              <w:bCs/>
            </w:rPr>
            <w:t>TEXAS</w:t>
          </w:r>
        </w:smartTag>
      </w:smartTag>
    </w:p>
    <w:p w14:paraId="4230CFB5" w14:textId="4EBA9BC9" w:rsidR="007D48F4" w:rsidRDefault="009C34EF" w:rsidP="00981055">
      <w:pPr>
        <w:jc w:val="center"/>
        <w:rPr>
          <w:b/>
          <w:bCs/>
        </w:rPr>
      </w:pPr>
      <w:r>
        <w:rPr>
          <w:b/>
          <w:bCs/>
        </w:rPr>
        <w:t>[</w:t>
      </w:r>
      <w:r w:rsidR="007D48F4">
        <w:rPr>
          <w:b/>
          <w:bCs/>
        </w:rPr>
        <w:t>AUSTIN</w:t>
      </w:r>
      <w:r>
        <w:rPr>
          <w:b/>
          <w:bCs/>
        </w:rPr>
        <w:t>/MIDLAND]</w:t>
      </w:r>
      <w:r w:rsidR="007D48F4">
        <w:rPr>
          <w:b/>
          <w:bCs/>
        </w:rPr>
        <w:t xml:space="preserve"> DIVISION</w:t>
      </w:r>
    </w:p>
    <w:p w14:paraId="659D343C" w14:textId="77777777" w:rsidR="007D48F4" w:rsidRDefault="007D48F4">
      <w:pPr>
        <w:jc w:val="center"/>
        <w:rPr>
          <w:b/>
          <w:bCs/>
        </w:rPr>
      </w:pPr>
    </w:p>
    <w:p w14:paraId="5AE9C7B3" w14:textId="32827FC8" w:rsidR="0037082B" w:rsidRPr="00B10883" w:rsidRDefault="0037082B" w:rsidP="0037082B">
      <w:pPr>
        <w:tabs>
          <w:tab w:val="center" w:pos="4680"/>
        </w:tabs>
        <w:rPr>
          <w:bCs/>
        </w:rPr>
      </w:pPr>
      <w:r>
        <w:rPr>
          <w:bCs/>
        </w:rPr>
        <w:t>IN RE:</w:t>
      </w:r>
      <w:r w:rsidRPr="009779D3">
        <w:rPr>
          <w:bCs/>
        </w:rPr>
        <w:tab/>
      </w:r>
      <w:r w:rsidR="00B10883">
        <w:rPr>
          <w:bCs/>
        </w:rPr>
        <w:t>§</w:t>
      </w:r>
      <w:r w:rsidRPr="009779D3">
        <w:rPr>
          <w:bCs/>
        </w:rPr>
        <w:tab/>
        <w:t xml:space="preserve">CASE NO. </w:t>
      </w:r>
      <w:r>
        <w:rPr>
          <w:bCs/>
          <w:u w:val="single"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B10883">
        <w:rPr>
          <w:bCs/>
        </w:rPr>
        <w:t>-TMD</w:t>
      </w:r>
    </w:p>
    <w:p w14:paraId="559EF910" w14:textId="5EEFC412" w:rsidR="0037082B" w:rsidRPr="009779D3" w:rsidRDefault="0037082B" w:rsidP="0037082B">
      <w:pPr>
        <w:tabs>
          <w:tab w:val="center" w:pos="4680"/>
        </w:tabs>
        <w:rPr>
          <w:bCs/>
        </w:rPr>
      </w:pPr>
      <w:r w:rsidRPr="009779D3">
        <w:rPr>
          <w:bCs/>
        </w:rPr>
        <w:tab/>
      </w:r>
      <w:r w:rsidR="00B10883">
        <w:rPr>
          <w:bCs/>
        </w:rPr>
        <w:t>§</w:t>
      </w:r>
    </w:p>
    <w:p w14:paraId="4EC5CF40" w14:textId="6E70C51E" w:rsidR="0037082B" w:rsidRPr="008A338A" w:rsidRDefault="0037082B" w:rsidP="0037082B">
      <w:pPr>
        <w:tabs>
          <w:tab w:val="center" w:pos="4680"/>
        </w:tabs>
        <w:rPr>
          <w:bCs/>
        </w:rPr>
      </w:pPr>
      <w:r>
        <w:rPr>
          <w:bCs/>
          <w:u w:val="single"/>
        </w:rPr>
        <w:t xml:space="preserve">                                           </w:t>
      </w:r>
      <w:r>
        <w:rPr>
          <w:bCs/>
        </w:rPr>
        <w:tab/>
      </w:r>
      <w:r w:rsidR="00B10883">
        <w:rPr>
          <w:bCs/>
        </w:rPr>
        <w:t>§</w:t>
      </w:r>
      <w:r>
        <w:rPr>
          <w:bCs/>
        </w:rPr>
        <w:tab/>
        <w:t>CHAPTER 7</w:t>
      </w:r>
    </w:p>
    <w:p w14:paraId="15ACAE6F" w14:textId="78BAEFCC" w:rsidR="0037082B" w:rsidRDefault="0037082B" w:rsidP="0037082B">
      <w:pPr>
        <w:tabs>
          <w:tab w:val="center" w:pos="4680"/>
        </w:tabs>
        <w:rPr>
          <w:bCs/>
        </w:rPr>
      </w:pPr>
      <w:r>
        <w:rPr>
          <w:bCs/>
        </w:rPr>
        <w:tab/>
      </w:r>
      <w:r w:rsidR="00B10883">
        <w:rPr>
          <w:bCs/>
        </w:rPr>
        <w:t>§</w:t>
      </w:r>
    </w:p>
    <w:p w14:paraId="1CAC862F" w14:textId="52F4A851" w:rsidR="0037082B" w:rsidRDefault="0037082B" w:rsidP="0037082B">
      <w:pPr>
        <w:tabs>
          <w:tab w:val="left" w:pos="720"/>
          <w:tab w:val="center" w:pos="4680"/>
        </w:tabs>
        <w:rPr>
          <w:bCs/>
        </w:rPr>
      </w:pPr>
      <w:r>
        <w:rPr>
          <w:bCs/>
        </w:rPr>
        <w:tab/>
        <w:t>Debtor</w:t>
      </w:r>
      <w:r w:rsidR="00B10883">
        <w:rPr>
          <w:bCs/>
        </w:rPr>
        <w:t>(s)</w:t>
      </w:r>
      <w:r>
        <w:rPr>
          <w:bCs/>
        </w:rPr>
        <w:t>.</w:t>
      </w:r>
      <w:r>
        <w:rPr>
          <w:bCs/>
        </w:rPr>
        <w:tab/>
      </w:r>
      <w:r w:rsidR="00B10883">
        <w:rPr>
          <w:bCs/>
        </w:rPr>
        <w:t>§</w:t>
      </w:r>
      <w:r>
        <w:rPr>
          <w:bCs/>
        </w:rPr>
        <w:tab/>
      </w:r>
    </w:p>
    <w:p w14:paraId="21A472D9" w14:textId="77777777" w:rsidR="0037082B" w:rsidRPr="00415E83" w:rsidRDefault="0037082B" w:rsidP="0037082B">
      <w:pPr>
        <w:tabs>
          <w:tab w:val="left" w:pos="720"/>
          <w:tab w:val="center" w:pos="4680"/>
        </w:tabs>
        <w:rPr>
          <w:bCs/>
        </w:rPr>
      </w:pPr>
      <w:r w:rsidRPr="009779D3">
        <w:rPr>
          <w:bCs/>
        </w:rPr>
        <w:tab/>
      </w:r>
    </w:p>
    <w:p w14:paraId="3CD6A408" w14:textId="77777777" w:rsidR="0037082B" w:rsidRPr="0011254C" w:rsidRDefault="0037082B" w:rsidP="0037082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90"/>
        </w:tabs>
        <w:jc w:val="center"/>
        <w:rPr>
          <w:b/>
          <w:bCs/>
          <w:u w:val="single"/>
        </w:rPr>
      </w:pPr>
    </w:p>
    <w:p w14:paraId="115F9F66" w14:textId="77777777" w:rsidR="007D48F4" w:rsidRDefault="007D48F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90"/>
        </w:tabs>
        <w:jc w:val="both"/>
        <w:rPr>
          <w:b/>
          <w:bCs/>
        </w:rPr>
      </w:pPr>
    </w:p>
    <w:p w14:paraId="1C72D364" w14:textId="77777777" w:rsidR="00B05A84" w:rsidRPr="00B05A84" w:rsidRDefault="007D48F4" w:rsidP="00B05A8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90"/>
        </w:tabs>
        <w:spacing w:after="240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ORDER </w:t>
      </w:r>
      <w:r w:rsidR="00B05A84">
        <w:rPr>
          <w:b/>
          <w:bCs/>
          <w:u w:val="single"/>
        </w:rPr>
        <w:t xml:space="preserve">GRANTING MOTION </w:t>
      </w:r>
      <w:r w:rsidR="00C64FEB">
        <w:rPr>
          <w:b/>
          <w:bCs/>
          <w:u w:val="single"/>
        </w:rPr>
        <w:t>TO</w:t>
      </w:r>
      <w:r w:rsidR="00B05A84">
        <w:rPr>
          <w:b/>
          <w:bCs/>
          <w:u w:val="single"/>
        </w:rPr>
        <w:t xml:space="preserve"> </w:t>
      </w:r>
      <w:r w:rsidR="00C64FEB">
        <w:rPr>
          <w:b/>
          <w:bCs/>
          <w:u w:val="single"/>
        </w:rPr>
        <w:t>DELAY ENTRY OF DISCHARGE</w:t>
      </w:r>
    </w:p>
    <w:p w14:paraId="7C2453CE" w14:textId="5420DBB1" w:rsidR="00535786" w:rsidRDefault="00981055" w:rsidP="00B10883">
      <w:pPr>
        <w:spacing w:line="480" w:lineRule="auto"/>
        <w:ind w:firstLine="720"/>
      </w:pPr>
      <w:r>
        <w:t xml:space="preserve">Before </w:t>
      </w:r>
      <w:r w:rsidR="001424F8">
        <w:t>the</w:t>
      </w:r>
      <w:r w:rsidR="004A57EC">
        <w:t xml:space="preserve"> Court </w:t>
      </w:r>
      <w:r>
        <w:t>is</w:t>
      </w:r>
      <w:r w:rsidR="007D48F4" w:rsidRPr="00325CC2">
        <w:t xml:space="preserve"> </w:t>
      </w:r>
      <w:r w:rsidR="007D48F4">
        <w:t xml:space="preserve">the </w:t>
      </w:r>
      <w:r>
        <w:t>Debtor</w:t>
      </w:r>
      <w:r w:rsidR="007C3FB7">
        <w:t>’</w:t>
      </w:r>
      <w:r w:rsidR="00B05A84">
        <w:t xml:space="preserve">s Motion </w:t>
      </w:r>
      <w:r w:rsidR="00C64FEB">
        <w:t>to</w:t>
      </w:r>
      <w:r w:rsidR="00B05A84">
        <w:t xml:space="preserve"> </w:t>
      </w:r>
      <w:r w:rsidR="00C64FEB">
        <w:t xml:space="preserve">Delay </w:t>
      </w:r>
      <w:r w:rsidR="002476AC">
        <w:t xml:space="preserve">Entry of Discharge </w:t>
      </w:r>
      <w:r w:rsidR="00B10883">
        <w:t>[</w:t>
      </w:r>
      <w:r w:rsidR="0037082B">
        <w:t>ECF ___</w:t>
      </w:r>
      <w:r w:rsidR="00B10883">
        <w:t>]</w:t>
      </w:r>
      <w:r w:rsidR="00B05A84">
        <w:t xml:space="preserve">.  </w:t>
      </w:r>
      <w:r w:rsidR="001424F8">
        <w:t>In the Motion, the Debtor</w:t>
      </w:r>
      <w:r>
        <w:t xml:space="preserve"> ask</w:t>
      </w:r>
      <w:r w:rsidR="002476AC">
        <w:t>s</w:t>
      </w:r>
      <w:r w:rsidR="001424F8">
        <w:t xml:space="preserve"> the Court to </w:t>
      </w:r>
      <w:r w:rsidR="00535786">
        <w:t xml:space="preserve">delay entry of discharge </w:t>
      </w:r>
      <w:r w:rsidR="00E834F5">
        <w:t>until</w:t>
      </w:r>
      <w:r>
        <w:t xml:space="preserve"> </w:t>
      </w:r>
      <w:r w:rsidR="00B10883">
        <w:t>[</w:t>
      </w:r>
      <w:r w:rsidR="00B93B3A">
        <w:t xml:space="preserve">Include </w:t>
      </w:r>
      <w:r w:rsidR="0037082B">
        <w:t xml:space="preserve">Date </w:t>
      </w:r>
      <w:r w:rsidR="00400AA5">
        <w:t>Requested</w:t>
      </w:r>
      <w:r w:rsidR="00B10883">
        <w:t>]</w:t>
      </w:r>
      <w:r w:rsidR="001424F8">
        <w:t xml:space="preserve">.  </w:t>
      </w:r>
      <w:r w:rsidR="00962454">
        <w:t>U</w:t>
      </w:r>
      <w:r w:rsidR="00535786">
        <w:t xml:space="preserve">nder </w:t>
      </w:r>
      <w:r w:rsidR="00951E31">
        <w:t>Bankruptcy Rule 4004(c)(2)</w:t>
      </w:r>
      <w:r w:rsidR="00922FE2">
        <w:t>,</w:t>
      </w:r>
      <w:r w:rsidR="00951E31">
        <w:t xml:space="preserve"> the C</w:t>
      </w:r>
      <w:r w:rsidR="00535786">
        <w:t xml:space="preserve">ourt may defer entry of </w:t>
      </w:r>
      <w:r w:rsidR="00BF1328">
        <w:t xml:space="preserve">the </w:t>
      </w:r>
      <w:r w:rsidR="00535786">
        <w:t>discharge order for up to 30</w:t>
      </w:r>
      <w:r w:rsidR="00DD764B">
        <w:t xml:space="preserve"> days on motion of the debtor</w:t>
      </w:r>
      <w:r w:rsidR="00922FE2">
        <w:t>.</w:t>
      </w:r>
      <w:r w:rsidR="00DD764B">
        <w:t xml:space="preserve"> </w:t>
      </w:r>
      <w:r w:rsidR="0037082B">
        <w:t xml:space="preserve"> </w:t>
      </w:r>
      <w:r w:rsidR="00922FE2">
        <w:t>O</w:t>
      </w:r>
      <w:r w:rsidR="00535786">
        <w:t xml:space="preserve">n </w:t>
      </w:r>
      <w:r w:rsidR="00365ACB">
        <w:t xml:space="preserve">an </w:t>
      </w:r>
      <w:r w:rsidR="00535786">
        <w:t>ad</w:t>
      </w:r>
      <w:r w:rsidR="00A72DF3">
        <w:t>ditional motion filed within that</w:t>
      </w:r>
      <w:r w:rsidR="00535786">
        <w:t xml:space="preserve"> period, the Court may extend</w:t>
      </w:r>
      <w:r w:rsidR="00BA7055">
        <w:t xml:space="preserve"> the deadline</w:t>
      </w:r>
      <w:r w:rsidR="00535786">
        <w:t xml:space="preserve"> to a date certain after the expiration of the initial 30 days. </w:t>
      </w:r>
      <w:r w:rsidR="00B94F96">
        <w:t>Based on Debtor’s motion, the Court considers the initial 30 day delay insufficient to accomplish the purposes for which the deferral</w:t>
      </w:r>
      <w:r w:rsidR="00535786">
        <w:t xml:space="preserve"> </w:t>
      </w:r>
      <w:r w:rsidR="00B94F96">
        <w:t xml:space="preserve">is requested.  </w:t>
      </w:r>
      <w:r w:rsidR="00ED4FE4">
        <w:t>In order to administer the bankruptcy case in a just</w:t>
      </w:r>
      <w:r w:rsidR="00521E88">
        <w:t>, expeditious</w:t>
      </w:r>
      <w:r w:rsidR="00ED4FE4">
        <w:t xml:space="preserve"> and consistent manner, </w:t>
      </w:r>
      <w:r w:rsidR="00962454">
        <w:t>the Court</w:t>
      </w:r>
      <w:r w:rsidR="00B94F96">
        <w:t xml:space="preserve"> will defer entry of discharge to a date certain more than 30 days </w:t>
      </w:r>
      <w:r w:rsidR="00B94F96">
        <w:lastRenderedPageBreak/>
        <w:t>in the future.</w:t>
      </w:r>
      <w:r w:rsidR="00962454" w:rsidRPr="00962454">
        <w:rPr>
          <w:rStyle w:val="FootnoteReference"/>
          <w:vertAlign w:val="superscript"/>
        </w:rPr>
        <w:footnoteReference w:id="1"/>
      </w:r>
      <w:r w:rsidR="00962454">
        <w:t xml:space="preserve">  This </w:t>
      </w:r>
      <w:r w:rsidR="00ED4FE4">
        <w:t>delay of entry of discharge</w:t>
      </w:r>
      <w:r w:rsidR="00962454">
        <w:t xml:space="preserve"> is granted without prejudice to secured creditor</w:t>
      </w:r>
      <w:r w:rsidR="00626C3C">
        <w:t>s</w:t>
      </w:r>
      <w:r w:rsidR="00962454">
        <w:t xml:space="preserve"> seek</w:t>
      </w:r>
      <w:r w:rsidR="00626C3C">
        <w:t>ing</w:t>
      </w:r>
      <w:r w:rsidR="00962454">
        <w:t xml:space="preserve"> relief from stay.</w:t>
      </w:r>
      <w:r w:rsidR="00ED4FE4">
        <w:t xml:space="preserve">  Upon an additional motion to delay entry of discharge, the Court may grant an additional delay.</w:t>
      </w:r>
    </w:p>
    <w:p w14:paraId="18AFF3AF" w14:textId="18DDE7B7" w:rsidR="00E83172" w:rsidRPr="00325CC2" w:rsidRDefault="001424F8" w:rsidP="00B10883">
      <w:pPr>
        <w:spacing w:line="480" w:lineRule="auto"/>
        <w:ind w:firstLine="720"/>
      </w:pPr>
      <w:r>
        <w:t xml:space="preserve">Therefore, the Court finds that the </w:t>
      </w:r>
      <w:r w:rsidR="007A677A">
        <w:t>entry of discharge</w:t>
      </w:r>
      <w:r>
        <w:t xml:space="preserve"> should be </w:t>
      </w:r>
      <w:r w:rsidR="007A677A">
        <w:t>delayed</w:t>
      </w:r>
      <w:r>
        <w:t xml:space="preserve"> to </w:t>
      </w:r>
      <w:r w:rsidR="00B10883">
        <w:t>[Include Date Requested]</w:t>
      </w:r>
      <w:r>
        <w:t xml:space="preserve">.  </w:t>
      </w:r>
    </w:p>
    <w:p w14:paraId="31243F24" w14:textId="18C39224" w:rsidR="007D48F4" w:rsidRDefault="007D48F4" w:rsidP="00B10883">
      <w:pPr>
        <w:spacing w:line="480" w:lineRule="auto"/>
      </w:pPr>
      <w:r w:rsidRPr="00325CC2">
        <w:tab/>
      </w:r>
      <w:r w:rsidR="00981055">
        <w:t xml:space="preserve">ACCORDINGLY, </w:t>
      </w:r>
      <w:r w:rsidRPr="00325CC2">
        <w:t>IT IS</w:t>
      </w:r>
      <w:r w:rsidR="004A57EC">
        <w:t xml:space="preserve"> THEREFORE</w:t>
      </w:r>
      <w:r w:rsidR="001424F8">
        <w:t xml:space="preserve"> ORDERED that </w:t>
      </w:r>
      <w:r>
        <w:t xml:space="preserve">the </w:t>
      </w:r>
      <w:r w:rsidR="00535786">
        <w:t xml:space="preserve">entry of discharge is delayed until </w:t>
      </w:r>
      <w:r w:rsidR="00B10883">
        <w:t>[Include Date Requested]</w:t>
      </w:r>
      <w:r w:rsidR="00B10883">
        <w:t>.</w:t>
      </w:r>
    </w:p>
    <w:p w14:paraId="56971541" w14:textId="4C9B1B48" w:rsidR="007D48F4" w:rsidRDefault="007D48F4">
      <w:pPr>
        <w:tabs>
          <w:tab w:val="center" w:pos="4680"/>
        </w:tabs>
        <w:spacing w:line="360" w:lineRule="auto"/>
        <w:ind w:firstLine="720"/>
        <w:jc w:val="both"/>
      </w:pPr>
      <w:r w:rsidRPr="002A7F50">
        <w:tab/>
        <w:t>#   #   #</w:t>
      </w:r>
    </w:p>
    <w:p w14:paraId="7572807B" w14:textId="44B7DB08" w:rsidR="009C34EF" w:rsidRDefault="009C34EF">
      <w:pPr>
        <w:tabs>
          <w:tab w:val="center" w:pos="4680"/>
        </w:tabs>
        <w:spacing w:line="360" w:lineRule="auto"/>
        <w:ind w:firstLine="720"/>
        <w:jc w:val="both"/>
      </w:pPr>
    </w:p>
    <w:p w14:paraId="5C5A8E8E" w14:textId="0E34B5C0" w:rsidR="009C34EF" w:rsidRDefault="009C34EF" w:rsidP="009C34EF">
      <w:pPr>
        <w:tabs>
          <w:tab w:val="center" w:pos="4680"/>
        </w:tabs>
        <w:spacing w:line="360" w:lineRule="auto"/>
        <w:jc w:val="both"/>
      </w:pPr>
      <w:r>
        <w:t>Prepared By:</w:t>
      </w:r>
    </w:p>
    <w:p w14:paraId="5E4C0878" w14:textId="49FDD3BF" w:rsidR="009C34EF" w:rsidRPr="002A7F50" w:rsidRDefault="009C34EF" w:rsidP="009C34EF">
      <w:pPr>
        <w:tabs>
          <w:tab w:val="center" w:pos="4680"/>
        </w:tabs>
        <w:spacing w:line="360" w:lineRule="auto"/>
        <w:jc w:val="both"/>
      </w:pPr>
      <w:r>
        <w:t>[Signature Block]</w:t>
      </w:r>
    </w:p>
    <w:sectPr w:rsidR="009C34EF" w:rsidRPr="002A7F50" w:rsidSect="0013249D">
      <w:footerReference w:type="default" r:id="rId8"/>
      <w:pgSz w:w="12240" w:h="15840" w:code="1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9A43E" w14:textId="77777777" w:rsidR="0011448E" w:rsidRDefault="0011448E" w:rsidP="0013249D">
      <w:r>
        <w:separator/>
      </w:r>
    </w:p>
  </w:endnote>
  <w:endnote w:type="continuationSeparator" w:id="0">
    <w:p w14:paraId="264662B3" w14:textId="77777777" w:rsidR="0011448E" w:rsidRDefault="0011448E" w:rsidP="0013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49D26" w14:textId="77777777" w:rsidR="007D48F4" w:rsidRDefault="00D5088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3B3A">
      <w:rPr>
        <w:noProof/>
      </w:rPr>
      <w:t>1</w:t>
    </w:r>
    <w:r>
      <w:rPr>
        <w:noProof/>
      </w:rPr>
      <w:fldChar w:fldCharType="end"/>
    </w:r>
  </w:p>
  <w:p w14:paraId="0F5DAC53" w14:textId="77777777" w:rsidR="007D48F4" w:rsidRDefault="007D48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73BE5" w14:textId="77777777" w:rsidR="0011448E" w:rsidRDefault="0011448E" w:rsidP="0013249D">
      <w:r>
        <w:separator/>
      </w:r>
    </w:p>
  </w:footnote>
  <w:footnote w:type="continuationSeparator" w:id="0">
    <w:p w14:paraId="64F08AEC" w14:textId="77777777" w:rsidR="0011448E" w:rsidRDefault="0011448E" w:rsidP="0013249D">
      <w:r>
        <w:continuationSeparator/>
      </w:r>
    </w:p>
  </w:footnote>
  <w:footnote w:id="1">
    <w:p w14:paraId="7F9A74C9" w14:textId="77777777" w:rsidR="00962454" w:rsidRDefault="0096245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62454">
        <w:rPr>
          <w:i/>
        </w:rPr>
        <w:t>In re Broderick</w:t>
      </w:r>
      <w:r>
        <w:t xml:space="preserve">, </w:t>
      </w:r>
      <w:r w:rsidRPr="00962454">
        <w:rPr>
          <w:bCs/>
        </w:rPr>
        <w:t>425 B.R. 556 (</w:t>
      </w:r>
      <w:proofErr w:type="spellStart"/>
      <w:r w:rsidRPr="00962454">
        <w:rPr>
          <w:bCs/>
        </w:rPr>
        <w:t>Bkrtcy.E.D.Cal</w:t>
      </w:r>
      <w:proofErr w:type="spellEnd"/>
      <w:r w:rsidRPr="00962454">
        <w:rPr>
          <w:bCs/>
        </w:rPr>
        <w:t>. 2010)</w:t>
      </w:r>
      <w:r w:rsidRPr="00962454">
        <w:t>.  “</w:t>
      </w:r>
      <w:r>
        <w:t>Although the Bankruptcy Rule</w:t>
      </w:r>
      <w:r w:rsidR="00894BB8">
        <w:t xml:space="preserve"> [4004(c)(2)]</w:t>
      </w:r>
      <w:r>
        <w:t xml:space="preserve"> provides for only an initial 30-day deferral of entry of debtor’s discharge and a potentially longer, further deferral only on motion by debtor within that initial 30-day period, bankruptcy court has discretion, if it appears from the start that 30-day deferral will be insufficient to accomplish the purposes for which the deferral is requested, to defer entry of discharge to a date certain more than 30 days in the future; interpreting Rule </w:t>
      </w:r>
      <w:r w:rsidR="00894BB8">
        <w:t>[</w:t>
      </w:r>
      <w:r w:rsidR="00BA7055">
        <w:t>4004(c)(2)</w:t>
      </w:r>
      <w:r w:rsidR="00894BB8">
        <w:t>]</w:t>
      </w:r>
      <w:r w:rsidR="00BA7055">
        <w:t xml:space="preserve"> </w:t>
      </w:r>
      <w:r>
        <w:t xml:space="preserve">to require two separate motions in such </w:t>
      </w:r>
      <w:r w:rsidR="00ED4FE4">
        <w:t>circumstances</w:t>
      </w:r>
      <w:r>
        <w:t xml:space="preserve"> would be an excessive </w:t>
      </w:r>
      <w:r w:rsidR="00ED4FE4">
        <w:t>formalism</w:t>
      </w:r>
      <w:r>
        <w:t xml:space="preserve"> and would be inconsistent with court’s obligation to construe Bankruptcy Rules to secure a just, speedy and inexpensive determination of every case and proceeding.”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41994"/>
    <w:multiLevelType w:val="hybridMultilevel"/>
    <w:tmpl w:val="ECD2CCF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4EC4"/>
    <w:rsid w:val="00066B28"/>
    <w:rsid w:val="0011448E"/>
    <w:rsid w:val="00127269"/>
    <w:rsid w:val="0013249D"/>
    <w:rsid w:val="001424F8"/>
    <w:rsid w:val="001629BE"/>
    <w:rsid w:val="00162CF9"/>
    <w:rsid w:val="00197114"/>
    <w:rsid w:val="002476AC"/>
    <w:rsid w:val="00247BC0"/>
    <w:rsid w:val="00274801"/>
    <w:rsid w:val="002964AC"/>
    <w:rsid w:val="002A7F50"/>
    <w:rsid w:val="002C28BF"/>
    <w:rsid w:val="00322255"/>
    <w:rsid w:val="00325CC2"/>
    <w:rsid w:val="00345AB8"/>
    <w:rsid w:val="00365ACB"/>
    <w:rsid w:val="0037082B"/>
    <w:rsid w:val="003A436A"/>
    <w:rsid w:val="003B5CDB"/>
    <w:rsid w:val="003C0C6F"/>
    <w:rsid w:val="003C401F"/>
    <w:rsid w:val="00400AA5"/>
    <w:rsid w:val="004179D6"/>
    <w:rsid w:val="00441DF7"/>
    <w:rsid w:val="00473D19"/>
    <w:rsid w:val="004926A0"/>
    <w:rsid w:val="004A57EC"/>
    <w:rsid w:val="004E521B"/>
    <w:rsid w:val="004F0AE6"/>
    <w:rsid w:val="00502B21"/>
    <w:rsid w:val="00521E88"/>
    <w:rsid w:val="00534172"/>
    <w:rsid w:val="00535786"/>
    <w:rsid w:val="00537862"/>
    <w:rsid w:val="00550AFA"/>
    <w:rsid w:val="005B38AE"/>
    <w:rsid w:val="005C0205"/>
    <w:rsid w:val="00626C3C"/>
    <w:rsid w:val="0064292E"/>
    <w:rsid w:val="006E31C3"/>
    <w:rsid w:val="006E7B12"/>
    <w:rsid w:val="007002D1"/>
    <w:rsid w:val="00715183"/>
    <w:rsid w:val="00743180"/>
    <w:rsid w:val="0075026A"/>
    <w:rsid w:val="00766E9F"/>
    <w:rsid w:val="0078188B"/>
    <w:rsid w:val="00784DFD"/>
    <w:rsid w:val="00795FAD"/>
    <w:rsid w:val="007A677A"/>
    <w:rsid w:val="007C3FB7"/>
    <w:rsid w:val="007D48F4"/>
    <w:rsid w:val="007F5BD8"/>
    <w:rsid w:val="00842BCB"/>
    <w:rsid w:val="00894BB8"/>
    <w:rsid w:val="008A0054"/>
    <w:rsid w:val="008C169F"/>
    <w:rsid w:val="008C6F6B"/>
    <w:rsid w:val="008C6F6F"/>
    <w:rsid w:val="008E3A83"/>
    <w:rsid w:val="009121A4"/>
    <w:rsid w:val="00922FE2"/>
    <w:rsid w:val="00945359"/>
    <w:rsid w:val="00951E31"/>
    <w:rsid w:val="00955E31"/>
    <w:rsid w:val="00962454"/>
    <w:rsid w:val="00981055"/>
    <w:rsid w:val="0098591F"/>
    <w:rsid w:val="009C34EF"/>
    <w:rsid w:val="009C5E21"/>
    <w:rsid w:val="009E49DF"/>
    <w:rsid w:val="009F4EC4"/>
    <w:rsid w:val="00A234DE"/>
    <w:rsid w:val="00A5102D"/>
    <w:rsid w:val="00A72DF3"/>
    <w:rsid w:val="00A8724C"/>
    <w:rsid w:val="00A87AED"/>
    <w:rsid w:val="00AD16F6"/>
    <w:rsid w:val="00AF5193"/>
    <w:rsid w:val="00B05A84"/>
    <w:rsid w:val="00B10883"/>
    <w:rsid w:val="00B12414"/>
    <w:rsid w:val="00B12AD5"/>
    <w:rsid w:val="00B40CBD"/>
    <w:rsid w:val="00B43764"/>
    <w:rsid w:val="00B54CA6"/>
    <w:rsid w:val="00B81B5F"/>
    <w:rsid w:val="00B93B3A"/>
    <w:rsid w:val="00B94F96"/>
    <w:rsid w:val="00BA0BAE"/>
    <w:rsid w:val="00BA7055"/>
    <w:rsid w:val="00BB684C"/>
    <w:rsid w:val="00BD48A7"/>
    <w:rsid w:val="00BF1328"/>
    <w:rsid w:val="00C43DFD"/>
    <w:rsid w:val="00C64FEB"/>
    <w:rsid w:val="00CC2147"/>
    <w:rsid w:val="00CD5386"/>
    <w:rsid w:val="00CE2623"/>
    <w:rsid w:val="00D1649C"/>
    <w:rsid w:val="00D23D31"/>
    <w:rsid w:val="00D50885"/>
    <w:rsid w:val="00D57478"/>
    <w:rsid w:val="00DB7575"/>
    <w:rsid w:val="00DD764B"/>
    <w:rsid w:val="00DE4A45"/>
    <w:rsid w:val="00DE531E"/>
    <w:rsid w:val="00E51DC6"/>
    <w:rsid w:val="00E83172"/>
    <w:rsid w:val="00E834F5"/>
    <w:rsid w:val="00E87D31"/>
    <w:rsid w:val="00E96213"/>
    <w:rsid w:val="00ED4FE4"/>
    <w:rsid w:val="00EE5476"/>
    <w:rsid w:val="00F00B64"/>
    <w:rsid w:val="00F4591C"/>
    <w:rsid w:val="00F55749"/>
    <w:rsid w:val="00F660BE"/>
    <w:rsid w:val="00FB051E"/>
    <w:rsid w:val="00FB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0791013"/>
  <w15:docId w15:val="{AFCE500A-E5C2-4ED4-A160-3F6F6C083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41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B12414"/>
    <w:rPr>
      <w:rFonts w:cs="Times New Roman"/>
    </w:rPr>
  </w:style>
  <w:style w:type="paragraph" w:styleId="ListParagraph">
    <w:name w:val="List Paragraph"/>
    <w:basedOn w:val="Normal"/>
    <w:uiPriority w:val="99"/>
    <w:qFormat/>
    <w:rsid w:val="0013249D"/>
    <w:pPr>
      <w:ind w:left="720"/>
      <w:contextualSpacing/>
    </w:pPr>
  </w:style>
  <w:style w:type="paragraph" w:customStyle="1" w:styleId="StyleListParagraphJustifiedLinespacing15lines">
    <w:name w:val="Style List Paragraph + Justified Line spacing:  1.5 lines"/>
    <w:basedOn w:val="ListParagraph"/>
    <w:uiPriority w:val="99"/>
    <w:rsid w:val="0013249D"/>
    <w:pPr>
      <w:spacing w:line="360" w:lineRule="auto"/>
      <w:jc w:val="both"/>
    </w:pPr>
    <w:rPr>
      <w:szCs w:val="20"/>
    </w:rPr>
  </w:style>
  <w:style w:type="paragraph" w:styleId="Header">
    <w:name w:val="header"/>
    <w:basedOn w:val="Normal"/>
    <w:link w:val="HeaderChar"/>
    <w:uiPriority w:val="99"/>
    <w:rsid w:val="001324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3249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324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3249D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E3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E31C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624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245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cgargotta\Local%20Settings\Temporary%20Internet%20Files\Content.MSO\FB6F684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8E42C-94FF-4227-A38D-4C88EE85A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FB6F684A.dotx</Template>
  <TotalTime>3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UNITED STATES BANKRUPTCY COURT</vt:lpstr>
    </vt:vector>
  </TitlesOfParts>
  <Company>US Bankruptcy Court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UNITED STATES BANKRUPTCY COURT</dc:title>
  <dc:creator>Carol Dancy</dc:creator>
  <cp:lastModifiedBy>Sarah Wood</cp:lastModifiedBy>
  <cp:revision>3</cp:revision>
  <cp:lastPrinted>2013-04-18T19:55:00Z</cp:lastPrinted>
  <dcterms:created xsi:type="dcterms:W3CDTF">2021-02-12T22:08:00Z</dcterms:created>
  <dcterms:modified xsi:type="dcterms:W3CDTF">2021-02-12T22:11:00Z</dcterms:modified>
</cp:coreProperties>
</file>